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B0" w:rsidRDefault="00AB48B0" w:rsidP="00AB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4A12E" wp14:editId="3C484B5C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B0" w:rsidRDefault="00AB48B0" w:rsidP="00AB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8B0" w:rsidRDefault="00AB48B0" w:rsidP="00AB4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AB48B0" w:rsidRDefault="00AB48B0" w:rsidP="00AB4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AB48B0" w:rsidRDefault="00AB48B0" w:rsidP="00AB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AB48B0" w:rsidRDefault="00AB48B0" w:rsidP="00AB48B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B48B0" w:rsidRDefault="00AB48B0" w:rsidP="00AB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19BF" wp14:editId="254D9785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B48B0" w:rsidRDefault="00AB48B0" w:rsidP="00AB48B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30 » декабря 2020 г.  № 819 </w:t>
      </w:r>
    </w:p>
    <w:p w:rsidR="00AB48B0" w:rsidRDefault="00AB48B0" w:rsidP="00AB48B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Чебаркуль</w:t>
      </w:r>
    </w:p>
    <w:p w:rsidR="00AB48B0" w:rsidRPr="000E2995" w:rsidRDefault="00AB48B0" w:rsidP="00AB48B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8B0" w:rsidRDefault="00AB48B0" w:rsidP="00AB48B0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995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0E2995">
        <w:rPr>
          <w:rFonts w:ascii="Times New Roman" w:hAnsi="Times New Roman"/>
          <w:sz w:val="28"/>
          <w:szCs w:val="28"/>
        </w:rPr>
        <w:t>» на 2020-2022 годы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8B0" w:rsidRPr="00931FC7" w:rsidRDefault="00AB48B0" w:rsidP="00AB48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31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AB48B0" w:rsidRPr="00931FC7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AB48B0" w:rsidRPr="00931FC7" w:rsidRDefault="00AB48B0" w:rsidP="00AB48B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F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 в муниципальную программу 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931FC7">
        <w:rPr>
          <w:rFonts w:ascii="Times New Roman" w:hAnsi="Times New Roman"/>
          <w:sz w:val="28"/>
          <w:szCs w:val="28"/>
        </w:rPr>
        <w:t>», утвержденную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31FC7">
        <w:rPr>
          <w:rFonts w:ascii="Times New Roman" w:hAnsi="Times New Roman"/>
          <w:sz w:val="28"/>
          <w:szCs w:val="28"/>
        </w:rPr>
        <w:t xml:space="preserve"> администрации Чебаркульского городско</w:t>
      </w:r>
      <w:r>
        <w:rPr>
          <w:rFonts w:ascii="Times New Roman" w:hAnsi="Times New Roman"/>
          <w:sz w:val="28"/>
          <w:szCs w:val="28"/>
        </w:rPr>
        <w:t>го округа от 11.11.2019 г. № 625</w:t>
      </w:r>
      <w:r w:rsidRPr="00931FC7">
        <w:rPr>
          <w:rFonts w:ascii="Times New Roman" w:hAnsi="Times New Roman"/>
          <w:sz w:val="28"/>
          <w:szCs w:val="28"/>
        </w:rPr>
        <w:t>, следующие изменения:</w:t>
      </w:r>
    </w:p>
    <w:p w:rsidR="00AB48B0" w:rsidRPr="00931FC7" w:rsidRDefault="00AB48B0" w:rsidP="00AB48B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FC7">
        <w:rPr>
          <w:rFonts w:ascii="Times New Roman" w:hAnsi="Times New Roman"/>
          <w:sz w:val="28"/>
          <w:szCs w:val="28"/>
        </w:rPr>
        <w:t xml:space="preserve">По всему тексту слова «итого: 2020 год – </w:t>
      </w:r>
      <w:r>
        <w:rPr>
          <w:rFonts w:ascii="Times New Roman" w:hAnsi="Times New Roman"/>
          <w:sz w:val="28"/>
          <w:szCs w:val="28"/>
        </w:rPr>
        <w:t>400 460</w:t>
      </w:r>
      <w:r w:rsidRPr="00931FC7">
        <w:rPr>
          <w:rFonts w:ascii="Times New Roman" w:hAnsi="Times New Roman"/>
          <w:sz w:val="28"/>
          <w:szCs w:val="28"/>
        </w:rPr>
        <w:t xml:space="preserve">,00 рублей» заменить словами «итого: 2020 год – </w:t>
      </w:r>
      <w:r>
        <w:rPr>
          <w:rFonts w:ascii="Times New Roman" w:hAnsi="Times New Roman"/>
          <w:sz w:val="28"/>
          <w:szCs w:val="28"/>
        </w:rPr>
        <w:t>315 022,00 рубля</w:t>
      </w:r>
      <w:r w:rsidRPr="00931FC7">
        <w:rPr>
          <w:rFonts w:ascii="Times New Roman" w:hAnsi="Times New Roman"/>
          <w:sz w:val="28"/>
          <w:szCs w:val="28"/>
        </w:rPr>
        <w:t>»;</w:t>
      </w:r>
    </w:p>
    <w:p w:rsidR="00AB48B0" w:rsidRPr="00931FC7" w:rsidRDefault="00AB48B0" w:rsidP="00AB48B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FC7">
        <w:rPr>
          <w:rFonts w:ascii="Times New Roman" w:hAnsi="Times New Roman"/>
          <w:sz w:val="28"/>
          <w:szCs w:val="28"/>
        </w:rPr>
        <w:t>Паспорт программы читать в новой редакции (приложение 1);</w:t>
      </w:r>
    </w:p>
    <w:p w:rsidR="00AB48B0" w:rsidRPr="00204356" w:rsidRDefault="00AB48B0" w:rsidP="00AB48B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FC7">
        <w:rPr>
          <w:rFonts w:ascii="Times New Roman" w:hAnsi="Times New Roman"/>
          <w:sz w:val="28"/>
          <w:szCs w:val="28"/>
        </w:rPr>
        <w:t xml:space="preserve">Таблицу раздела 5 «Ресурсное обеспечение муниципальной программы» читать в новой 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931FC7">
        <w:rPr>
          <w:rFonts w:ascii="Times New Roman" w:hAnsi="Times New Roman"/>
          <w:sz w:val="28"/>
          <w:szCs w:val="28"/>
        </w:rPr>
        <w:t>).</w:t>
      </w:r>
    </w:p>
    <w:p w:rsidR="00AB48B0" w:rsidRPr="00931FC7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FC7"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 – 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AB48B0" w:rsidRPr="00931FC7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1F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</w:t>
      </w:r>
      <w:r w:rsidRPr="00931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настоящего постановления оставляю за собой.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8B0" w:rsidRPr="000E2995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8B0" w:rsidRPr="000E2995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AB48B0" w:rsidRPr="000E2995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С.А. Виноградова</w:t>
      </w:r>
    </w:p>
    <w:p w:rsidR="00AB48B0" w:rsidRDefault="00AB48B0" w:rsidP="00AB48B0">
      <w:pPr>
        <w:spacing w:after="0" w:line="240" w:lineRule="auto"/>
        <w:ind w:left="5812" w:hanging="58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B48B0" w:rsidRDefault="00AB48B0" w:rsidP="00AB48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B48B0" w:rsidRDefault="00AB48B0" w:rsidP="00AB48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30 декабря 2020 г. </w:t>
      </w:r>
      <w:r w:rsidRPr="00405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819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AB48B0" w:rsidTr="003803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Чебаркульского городского округа (далее – УСЗН ЧГО).</w:t>
            </w:r>
          </w:p>
          <w:p w:rsidR="00AB48B0" w:rsidRDefault="00AB48B0" w:rsidP="0038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8B0" w:rsidTr="003803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Чебаркульского городского округа (далее  - УФКиС ЧГО); </w:t>
            </w:r>
          </w:p>
          <w:p w:rsidR="00AB48B0" w:rsidRPr="002B7B51" w:rsidRDefault="00AB48B0" w:rsidP="0038033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ЧГО); Муниципальное учреждение Чебаркульского городского округ «Комплексный центр социального обслуживания населения» (далее - КЦСОН); Управление образования администрации Чебаркульского городского округа (далее </w:t>
            </w: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– УО ЧГО); 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AB48B0" w:rsidTr="003803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AB48B0" w:rsidTr="0038033E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AB48B0" w:rsidRPr="002B7B51" w:rsidRDefault="00AB48B0" w:rsidP="0038033E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AB48B0" w:rsidTr="0038033E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зданий и сооружений  в сферах жизнедеятельности инвалидов и других МГН на территории Чебаркульского городского округа;</w:t>
            </w:r>
          </w:p>
          <w:p w:rsidR="00AB48B0" w:rsidRPr="002B7B51" w:rsidRDefault="00AB48B0" w:rsidP="0038033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AB48B0" w:rsidRPr="002B7B51" w:rsidRDefault="00AB48B0" w:rsidP="0038033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 инвалидов и других маломобильных групп населения к приоритетным объектам и услугам в сфере образования.</w:t>
            </w:r>
          </w:p>
        </w:tc>
      </w:tr>
      <w:tr w:rsidR="00AB48B0" w:rsidTr="0038033E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2020-2022 годы.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AB48B0" w:rsidTr="0038033E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AB48B0" w:rsidTr="0038033E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2020 год и плановый период 2021 и 2022 годы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355 022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,00, в том числе: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355 022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бюджета,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из средств областного бюджета.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-0,00 рублей – средства областного бюджета.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рублей: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рублей – средства местного бюджета,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2022 год 20 000,00 рублей: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- 20 000,00 рублей – средства местного бюджета,</w:t>
            </w:r>
          </w:p>
          <w:p w:rsidR="00AB48B0" w:rsidRPr="002B7B51" w:rsidRDefault="00AB48B0" w:rsidP="0038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</w:tc>
      </w:tr>
      <w:tr w:rsidR="00AB48B0" w:rsidTr="0038033E">
        <w:trPr>
          <w:trHeight w:val="5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 в социальной инфраструктуре, подлежащих инвентаризации и паспортизации, 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2.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МГН, 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3. 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инвалидов, 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4. Доля детей - инвалидов, получивших дополнительные меры социальной поддержки и реабилитацию, от общего числа обратившихся детей - инвалидов, 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5. Доля дошкольных образовательных организаций, в которых создана универсальная безбарьерная среда для инклюзивного образования детей - инвалидов, детей с ограниченными возможностями здоровья, от общего количества дошкольных образовательных организаций, %.</w:t>
            </w:r>
          </w:p>
        </w:tc>
      </w:tr>
      <w:tr w:rsidR="00AB48B0" w:rsidTr="0038033E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2022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 сохранение доли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в размере 100%;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-увеличение   доли объектов социальной инфраструктуры, в которых проведены работы по адаптации зданий и помещений для инвалидов и МГН, 28,6%;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  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на соответствующем уровне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доли инвалидов, получивших дополнительные меры социальной поддержки и реабилитацию по временному обеспечению техническими средствами реабилитации,  100%;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 сохранение на соответствующем уровне доли детей - инвалидов, получивших дополнительные меры социальной поддержки и реабилитацию, 50%;</w:t>
            </w:r>
          </w:p>
          <w:p w:rsidR="00AB48B0" w:rsidRPr="002B7B51" w:rsidRDefault="00AB48B0" w:rsidP="003803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  увеличение доли дошкольных образовательных организаций, в которых создана безбарьерная среда для инклюзивного образования детей – инвалидов, детей с ограниченными возможностями здоровья, 13,3%.</w:t>
            </w:r>
          </w:p>
        </w:tc>
      </w:tr>
    </w:tbl>
    <w:p w:rsidR="00AB48B0" w:rsidRDefault="00AB48B0">
      <w:pPr>
        <w:sectPr w:rsidR="00AB48B0" w:rsidSect="00931FC7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AB48B0" w:rsidRPr="00A346F5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AB48B0" w:rsidRPr="00A346F5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B48B0" w:rsidRPr="00A346F5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AB48B0" w:rsidRPr="00A346F5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 декабря </w:t>
      </w:r>
      <w:r w:rsidRPr="00A346F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819     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2020 год и плановый период  2021  и  2022 годов  финансирование программы составляет: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315 022,00 рублей;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20 000,00 рублей;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20 000,00 рублей.</w:t>
      </w:r>
    </w:p>
    <w:p w:rsidR="00AB48B0" w:rsidRDefault="00AB48B0" w:rsidP="00AB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355 022,00 рублей из средств местного бюджета.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0,00 рублей.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0,00 рублей.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 – 0,00 рублей.</w:t>
      </w:r>
    </w:p>
    <w:p w:rsidR="00AB48B0" w:rsidRDefault="00AB48B0" w:rsidP="00AB4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финансирования- 0,00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областного бюджета.</w:t>
      </w:r>
    </w:p>
    <w:p w:rsidR="00AB48B0" w:rsidRDefault="00AB48B0" w:rsidP="00AB4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B0" w:rsidRDefault="00AB48B0" w:rsidP="00AB48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48B0" w:rsidSect="0095648A">
          <w:headerReference w:type="default" r:id="rId7"/>
          <w:pgSz w:w="16838" w:h="11906" w:orient="landscape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AB48B0" w:rsidRDefault="00AB48B0" w:rsidP="00AB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AB48B0" w:rsidTr="0038033E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AB48B0" w:rsidTr="0038033E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B48B0" w:rsidTr="0038033E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48B0" w:rsidTr="0038033E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«Доступная среда» на 2020-2022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AB48B0" w:rsidTr="0038033E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AB48B0" w:rsidTr="0038033E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37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 Подготовка и проведение инвентаризации, паспортизации и классификации всех действующих объектов социальной и транспортной инфраструктуры,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35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4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75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44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cantSplit/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услуг;</w:t>
            </w: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</w:t>
            </w: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адресу: г. Чебаркуль, ул. Электростальская 1«А») - оснащение спецприсоблениями для маломобильных групп населения санузлов и душевых кабин в спортсооружениях;</w:t>
            </w:r>
          </w:p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445 1102 68020 79050 622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49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46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8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00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адресам: г. Чебаркуль, ул. Ленина, 13 (тактильные информационные таблички внутри помещения),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(тактильная лента, контрастная лента, внутренний пандус для преодоления перепадов высот),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 «А»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(сенсорное информационное табло).</w:t>
            </w:r>
            <w:proofErr w:type="gram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443 0703 68020 79050 612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5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54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82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54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36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устройство пандуса к основному зданию);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446 1004 68099 79050 244</w:t>
            </w: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8B0" w:rsidRDefault="00AB48B0" w:rsidP="003803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36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2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19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Tr="0038033E">
        <w:trPr>
          <w:trHeight w:val="45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Временное обеспечение инвалидов техническими средствами реабилитации (прокат).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53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45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7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64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Обеспечение детей – инвалидов дополнительными мерами  социальной поддержки и реабилитации.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 УФКиС ЧГО, УО ЧГО</w:t>
            </w:r>
          </w:p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B48B0" w:rsidTr="0038033E">
        <w:trPr>
          <w:trHeight w:val="123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AB48B0" w:rsidRDefault="00AB48B0" w:rsidP="00AB48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48B0">
          <w:pgSz w:w="16838" w:h="11906" w:orient="landscape"/>
          <w:pgMar w:top="1134" w:right="567" w:bottom="1134" w:left="1701" w:header="709" w:footer="709" w:gutter="0"/>
          <w:cols w:space="720"/>
        </w:sectPr>
      </w:pP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AB48B0" w:rsidRPr="00DA1EEB" w:rsidTr="0038033E">
        <w:trPr>
          <w:trHeight w:val="120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Default="00AB48B0" w:rsidP="003803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</w:t>
            </w:r>
          </w:p>
          <w:p w:rsidR="00AB48B0" w:rsidRDefault="00AB48B0" w:rsidP="0038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адресу  г. Чебаркуль, ул. Мира, 23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Марта,  Детский сад №26)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приобретение и</w:t>
            </w:r>
          </w:p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пандуса; Приобретение и монтаж поручня откидного.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0" w:rsidRPr="00091C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t xml:space="preserve">441 0701 68020 </w:t>
            </w:r>
            <w:r w:rsidRPr="00091CB0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t>0277</w:t>
            </w:r>
          </w:p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F82FBA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DA1EEB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DA1EEB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AB48B0" w:rsidTr="0038033E">
        <w:trPr>
          <w:trHeight w:val="123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DA1EEB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RPr="00DA1EEB" w:rsidTr="0038033E">
        <w:trPr>
          <w:trHeight w:val="117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F82FBA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DA1EEB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DA1EEB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48B0" w:rsidRPr="00091CB0" w:rsidTr="0038033E">
        <w:trPr>
          <w:trHeight w:val="215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091C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091C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091CB0" w:rsidRDefault="00AB48B0" w:rsidP="00380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</w:tbl>
    <w:p w:rsidR="00BC1B00" w:rsidRDefault="00BC1B00">
      <w:bookmarkStart w:id="0" w:name="_GoBack"/>
      <w:bookmarkEnd w:id="0"/>
    </w:p>
    <w:sectPr w:rsidR="00BC1B00" w:rsidSect="00AB48B0">
      <w:pgSz w:w="16838" w:h="11906" w:orient="landscape"/>
      <w:pgMar w:top="1701" w:right="1134" w:bottom="567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538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48B0" w:rsidRPr="0095648A" w:rsidRDefault="00AB48B0">
        <w:pPr>
          <w:pStyle w:val="a8"/>
          <w:jc w:val="center"/>
          <w:rPr>
            <w:rFonts w:ascii="Times New Roman" w:hAnsi="Times New Roman" w:cs="Times New Roman"/>
          </w:rPr>
        </w:pPr>
        <w:r w:rsidRPr="0095648A">
          <w:rPr>
            <w:rFonts w:ascii="Times New Roman" w:hAnsi="Times New Roman" w:cs="Times New Roman"/>
          </w:rPr>
          <w:fldChar w:fldCharType="begin"/>
        </w:r>
        <w:r w:rsidRPr="0095648A">
          <w:rPr>
            <w:rFonts w:ascii="Times New Roman" w:hAnsi="Times New Roman" w:cs="Times New Roman"/>
          </w:rPr>
          <w:instrText>PAGE   \* MERGEFORMAT</w:instrText>
        </w:r>
        <w:r w:rsidRPr="0095648A">
          <w:rPr>
            <w:rFonts w:ascii="Times New Roman" w:hAnsi="Times New Roman" w:cs="Times New Roman"/>
          </w:rPr>
          <w:fldChar w:fldCharType="separate"/>
        </w:r>
        <w:r w:rsidR="0035043D">
          <w:rPr>
            <w:rFonts w:ascii="Times New Roman" w:hAnsi="Times New Roman" w:cs="Times New Roman"/>
            <w:noProof/>
          </w:rPr>
          <w:t>6</w:t>
        </w:r>
        <w:r w:rsidRPr="0095648A">
          <w:rPr>
            <w:rFonts w:ascii="Times New Roman" w:hAnsi="Times New Roman" w:cs="Times New Roman"/>
          </w:rPr>
          <w:fldChar w:fldCharType="end"/>
        </w:r>
      </w:p>
    </w:sdtContent>
  </w:sdt>
  <w:p w:rsidR="00AB48B0" w:rsidRDefault="00AB48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34A"/>
    <w:multiLevelType w:val="multilevel"/>
    <w:tmpl w:val="110C4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FBC0426"/>
    <w:multiLevelType w:val="hybridMultilevel"/>
    <w:tmpl w:val="A69C4ED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57"/>
    <w:rsid w:val="00045057"/>
    <w:rsid w:val="0035043D"/>
    <w:rsid w:val="00AB48B0"/>
    <w:rsid w:val="00B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48B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B48B0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AB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4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48B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B48B0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AB48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88F6DC9394497F89EAF80FA0DhDI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1903</Words>
  <Characters>10849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ЧЕБАРКУЛЬСКОГО ГОРОДСКОГО ОКРУГА</vt:lpstr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2021-03-02T03:32:00Z</dcterms:created>
  <dcterms:modified xsi:type="dcterms:W3CDTF">2021-03-02T03:46:00Z</dcterms:modified>
</cp:coreProperties>
</file>